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E7D94" w14:textId="0DF897DA" w:rsidR="00997278" w:rsidRDefault="00947377" w:rsidP="000E410C">
      <w:pPr>
        <w:jc w:val="center"/>
        <w:rPr>
          <w:b/>
          <w:bCs/>
        </w:rPr>
      </w:pPr>
      <w:r>
        <w:rPr>
          <w:noProof/>
        </w:rPr>
        <w:drawing>
          <wp:anchor distT="0" distB="0" distL="114300" distR="114300" simplePos="0" relativeHeight="251658241" behindDoc="0" locked="0" layoutInCell="1" allowOverlap="1" wp14:anchorId="0AEEDDEC" wp14:editId="05C2D911">
            <wp:simplePos x="0" y="0"/>
            <wp:positionH relativeFrom="margin">
              <wp:posOffset>4648199</wp:posOffset>
            </wp:positionH>
            <wp:positionV relativeFrom="paragraph">
              <wp:posOffset>-581025</wp:posOffset>
            </wp:positionV>
            <wp:extent cx="1381125" cy="486804"/>
            <wp:effectExtent l="0" t="0" r="0" b="889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329" cy="4875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BC1">
        <w:rPr>
          <w:noProof/>
        </w:rPr>
        <w:drawing>
          <wp:anchor distT="0" distB="0" distL="114300" distR="114300" simplePos="0" relativeHeight="251658240" behindDoc="0" locked="0" layoutInCell="1" hidden="0" allowOverlap="1" wp14:anchorId="7B715A62" wp14:editId="4BF9F9DE">
            <wp:simplePos x="0" y="0"/>
            <wp:positionH relativeFrom="column">
              <wp:posOffset>-19050</wp:posOffset>
            </wp:positionH>
            <wp:positionV relativeFrom="paragraph">
              <wp:posOffset>-762000</wp:posOffset>
            </wp:positionV>
            <wp:extent cx="1466850" cy="834977"/>
            <wp:effectExtent l="0" t="0" r="0" b="0"/>
            <wp:wrapNone/>
            <wp:docPr id="7"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12"/>
                    <a:srcRect/>
                    <a:stretch>
                      <a:fillRect/>
                    </a:stretch>
                  </pic:blipFill>
                  <pic:spPr>
                    <a:xfrm>
                      <a:off x="0" y="0"/>
                      <a:ext cx="1466850" cy="834977"/>
                    </a:xfrm>
                    <a:prstGeom prst="rect">
                      <a:avLst/>
                    </a:prstGeom>
                    <a:ln/>
                  </pic:spPr>
                </pic:pic>
              </a:graphicData>
            </a:graphic>
          </wp:anchor>
        </w:drawing>
      </w:r>
      <w:r w:rsidR="00796432">
        <w:rPr>
          <w:b/>
          <w:bCs/>
        </w:rPr>
        <w:t xml:space="preserve"> </w:t>
      </w:r>
      <w:r w:rsidR="00734EEE">
        <w:rPr>
          <w:b/>
          <w:bCs/>
        </w:rPr>
        <w:t xml:space="preserve">GNC and </w:t>
      </w:r>
      <w:r w:rsidR="00997278">
        <w:rPr>
          <w:b/>
          <w:bCs/>
        </w:rPr>
        <w:t>GNC Technical Alliance</w:t>
      </w:r>
      <w:r w:rsidR="00997278">
        <w:rPr>
          <w:rStyle w:val="FootnoteReference"/>
          <w:b/>
          <w:bCs/>
        </w:rPr>
        <w:footnoteReference w:id="2"/>
      </w:r>
    </w:p>
    <w:p w14:paraId="4601F884" w14:textId="7EDB0D3E" w:rsidR="000E410C" w:rsidRPr="00B159FA" w:rsidRDefault="000E410C" w:rsidP="000E410C">
      <w:pPr>
        <w:jc w:val="center"/>
        <w:rPr>
          <w:b/>
          <w:bCs/>
        </w:rPr>
      </w:pPr>
      <w:r w:rsidRPr="00B159FA">
        <w:rPr>
          <w:b/>
          <w:bCs/>
        </w:rPr>
        <w:t>T</w:t>
      </w:r>
      <w:r w:rsidR="00997278">
        <w:rPr>
          <w:b/>
          <w:bCs/>
        </w:rPr>
        <w:t>erms of Reference (ToR)</w:t>
      </w:r>
    </w:p>
    <w:p w14:paraId="2A1CCEFA" w14:textId="2669030B" w:rsidR="00864956" w:rsidRDefault="00864956" w:rsidP="000E410C">
      <w:pPr>
        <w:jc w:val="center"/>
        <w:rPr>
          <w:b/>
          <w:bCs/>
        </w:rPr>
      </w:pPr>
      <w:r>
        <w:rPr>
          <w:b/>
          <w:bCs/>
        </w:rPr>
        <w:t xml:space="preserve">Focal Points &amp; </w:t>
      </w:r>
      <w:r w:rsidR="00410397">
        <w:rPr>
          <w:b/>
          <w:bCs/>
        </w:rPr>
        <w:t xml:space="preserve">Workstreams </w:t>
      </w:r>
      <w:r w:rsidR="00183D15">
        <w:rPr>
          <w:b/>
          <w:bCs/>
        </w:rPr>
        <w:t>for Cross Cutting Themes</w:t>
      </w:r>
    </w:p>
    <w:p w14:paraId="493C834C" w14:textId="3185E383" w:rsidR="000E410C" w:rsidRDefault="000E410C" w:rsidP="000E410C">
      <w:pPr>
        <w:jc w:val="center"/>
      </w:pPr>
    </w:p>
    <w:p w14:paraId="184B1F97" w14:textId="53880AA7" w:rsidR="000E410C" w:rsidRDefault="007806A9" w:rsidP="007806A9">
      <w:pPr>
        <w:tabs>
          <w:tab w:val="left" w:pos="2736"/>
        </w:tabs>
        <w:rPr>
          <w:b/>
          <w:bCs/>
        </w:rPr>
      </w:pPr>
      <w:r>
        <w:rPr>
          <w:b/>
          <w:bCs/>
        </w:rPr>
        <w:tab/>
      </w:r>
    </w:p>
    <w:p w14:paraId="46986B3E" w14:textId="77777777" w:rsidR="007806A9" w:rsidRPr="007806A9" w:rsidRDefault="007806A9" w:rsidP="007806A9">
      <w:pPr>
        <w:tabs>
          <w:tab w:val="left" w:pos="2736"/>
        </w:tabs>
        <w:rPr>
          <w:b/>
          <w:bCs/>
          <w:u w:val="single"/>
        </w:rPr>
      </w:pPr>
      <w:r w:rsidRPr="007806A9">
        <w:rPr>
          <w:b/>
          <w:bCs/>
          <w:u w:val="single"/>
        </w:rPr>
        <w:t>Purpose of this document</w:t>
      </w:r>
    </w:p>
    <w:p w14:paraId="250D7D6A" w14:textId="0BD6E21B" w:rsidR="007806A9" w:rsidRDefault="007806A9" w:rsidP="007806A9">
      <w:pPr>
        <w:tabs>
          <w:tab w:val="left" w:pos="2736"/>
        </w:tabs>
      </w:pPr>
      <w:r>
        <w:t>The purpose of this document is to outline the general Terms of Reference for the Cross</w:t>
      </w:r>
      <w:r w:rsidR="008E433C">
        <w:t xml:space="preserve"> </w:t>
      </w:r>
      <w:r>
        <w:t xml:space="preserve">cutting themes focal point/workstreams. It is intended that each focal point/workstream tailor the general Terms of Reference to best suit their needs and ways of working. </w:t>
      </w:r>
    </w:p>
    <w:p w14:paraId="627F9C90" w14:textId="77777777" w:rsidR="007806A9" w:rsidRDefault="007806A9" w:rsidP="007806A9">
      <w:pPr>
        <w:tabs>
          <w:tab w:val="left" w:pos="2736"/>
        </w:tabs>
        <w:rPr>
          <w:b/>
          <w:bCs/>
        </w:rPr>
      </w:pPr>
    </w:p>
    <w:p w14:paraId="46620D4D" w14:textId="7193CD9C" w:rsidR="0064789F" w:rsidRDefault="000E410C">
      <w:pPr>
        <w:jc w:val="both"/>
        <w:rPr>
          <w:b/>
          <w:bCs/>
          <w:u w:val="single"/>
        </w:rPr>
      </w:pPr>
      <w:r w:rsidRPr="000E410C">
        <w:rPr>
          <w:b/>
          <w:bCs/>
          <w:u w:val="single"/>
        </w:rPr>
        <w:t xml:space="preserve">1. </w:t>
      </w:r>
      <w:r w:rsidR="0064789F">
        <w:rPr>
          <w:b/>
          <w:bCs/>
          <w:u w:val="single"/>
        </w:rPr>
        <w:t>Background</w:t>
      </w:r>
    </w:p>
    <w:p w14:paraId="23068881" w14:textId="68C6250B" w:rsidR="00B81DCD" w:rsidRDefault="00B159FA">
      <w:pPr>
        <w:jc w:val="both"/>
      </w:pPr>
      <w:r>
        <w:t xml:space="preserve">The </w:t>
      </w:r>
      <w:r w:rsidR="00997278">
        <w:t>Global Nutrition Cluster</w:t>
      </w:r>
      <w:r w:rsidR="00015D29">
        <w:t xml:space="preserve"> (GNC)</w:t>
      </w:r>
      <w:r w:rsidR="00171B86">
        <w:t xml:space="preserve"> </w:t>
      </w:r>
      <w:r w:rsidR="00B81DCD">
        <w:t>exists to collectively strengthen the technical and coordination capacities for nutrition in countries, based on the needs of affected populations. This is to enable countries to forecast nutrition trends and prepare for, respond to, and recover from, shocks to the nutrition situation, thereby contributing to global efforts to prevent and treat malnutrition in all its forms.</w:t>
      </w:r>
    </w:p>
    <w:p w14:paraId="432D669F" w14:textId="3FC6ABF1" w:rsidR="007F00CD" w:rsidRDefault="007F00CD">
      <w:pPr>
        <w:jc w:val="both"/>
      </w:pPr>
    </w:p>
    <w:p w14:paraId="6452B285" w14:textId="61F2A566" w:rsidR="002839C9" w:rsidRDefault="004F0A82">
      <w:pPr>
        <w:jc w:val="both"/>
      </w:pPr>
      <w:r>
        <w:t>The GNC Strategy (2022-2025) focuses on 3 strategic objectives including</w:t>
      </w:r>
      <w:r w:rsidR="00372A2D">
        <w:t xml:space="preserve"> Strategic Objective 2 Operational and Technical Support</w:t>
      </w:r>
      <w:r w:rsidR="0087496E">
        <w:t xml:space="preserve">: To provide adequate NiE coordination, IM, and programme operational and technical support to ensure </w:t>
      </w:r>
      <w:r w:rsidR="0086674B">
        <w:t>t</w:t>
      </w:r>
      <w:r w:rsidR="002839C9">
        <w:t>hat nutrition-related decisions and operational support at all levels are guided by timely and sound technical advice, while the documentation of experiences is undertaken and new evidence is generated.</w:t>
      </w:r>
      <w:r w:rsidR="0045511F">
        <w:t xml:space="preserve"> The Technical Support Team</w:t>
      </w:r>
      <w:r w:rsidR="004E37F9">
        <w:t xml:space="preserve"> (TST) is an integral part of providing this support.</w:t>
      </w:r>
    </w:p>
    <w:p w14:paraId="3EB12F58" w14:textId="77777777" w:rsidR="00AE3E14" w:rsidRDefault="00AE3E14">
      <w:pPr>
        <w:jc w:val="both"/>
      </w:pPr>
    </w:p>
    <w:p w14:paraId="68CE19A1" w14:textId="2BD9CE2D" w:rsidR="00AE3E14" w:rsidRDefault="00AE3E14">
      <w:pPr>
        <w:jc w:val="both"/>
      </w:pPr>
      <w:r>
        <w:t>One of four main initiatives</w:t>
      </w:r>
      <w:r w:rsidR="008A1431">
        <w:t xml:space="preserve"> includes the mainstreaming of five key cross cutting themes (CCTs)</w:t>
      </w:r>
      <w:r w:rsidR="000E51AD">
        <w:t>:</w:t>
      </w:r>
    </w:p>
    <w:p w14:paraId="778411DA" w14:textId="77777777" w:rsidR="002839C9" w:rsidRDefault="002839C9">
      <w:pPr>
        <w:jc w:val="both"/>
      </w:pPr>
    </w:p>
    <w:p w14:paraId="73B73732" w14:textId="6AD703B3" w:rsidR="00EA39E4" w:rsidRDefault="002D4F18" w:rsidP="00EA39E4">
      <w:pPr>
        <w:pStyle w:val="ListParagraph"/>
        <w:numPr>
          <w:ilvl w:val="0"/>
          <w:numId w:val="16"/>
        </w:numPr>
        <w:jc w:val="both"/>
      </w:pPr>
      <w:r>
        <w:t>Accountability</w:t>
      </w:r>
      <w:r w:rsidR="00EA39E4">
        <w:t xml:space="preserve"> to affected populations</w:t>
      </w:r>
    </w:p>
    <w:p w14:paraId="00A439E4" w14:textId="7E1A7280" w:rsidR="00EA39E4" w:rsidRDefault="00EA39E4" w:rsidP="00EA39E4">
      <w:pPr>
        <w:pStyle w:val="ListParagraph"/>
        <w:numPr>
          <w:ilvl w:val="0"/>
          <w:numId w:val="16"/>
        </w:numPr>
        <w:jc w:val="both"/>
      </w:pPr>
      <w:r>
        <w:t>Disability</w:t>
      </w:r>
    </w:p>
    <w:p w14:paraId="54BC5600" w14:textId="54E73305" w:rsidR="00EA39E4" w:rsidRDefault="00EA39E4" w:rsidP="00EA39E4">
      <w:pPr>
        <w:pStyle w:val="ListParagraph"/>
        <w:numPr>
          <w:ilvl w:val="0"/>
          <w:numId w:val="16"/>
        </w:numPr>
        <w:jc w:val="both"/>
      </w:pPr>
      <w:r>
        <w:t>Gender mainstreaming</w:t>
      </w:r>
    </w:p>
    <w:p w14:paraId="76C6E182" w14:textId="7780913D" w:rsidR="00EA39E4" w:rsidRDefault="00EA39E4" w:rsidP="00EA39E4">
      <w:pPr>
        <w:pStyle w:val="ListParagraph"/>
        <w:numPr>
          <w:ilvl w:val="0"/>
          <w:numId w:val="16"/>
        </w:numPr>
        <w:jc w:val="both"/>
      </w:pPr>
      <w:r>
        <w:t>Humanitarian-Development Nexus</w:t>
      </w:r>
    </w:p>
    <w:p w14:paraId="26663206" w14:textId="695BE79C" w:rsidR="00EA39E4" w:rsidRDefault="00EA39E4" w:rsidP="00EA39E4">
      <w:pPr>
        <w:pStyle w:val="ListParagraph"/>
        <w:numPr>
          <w:ilvl w:val="0"/>
          <w:numId w:val="16"/>
        </w:numPr>
        <w:jc w:val="both"/>
      </w:pPr>
      <w:r>
        <w:t>Localisation</w:t>
      </w:r>
    </w:p>
    <w:p w14:paraId="6C301267" w14:textId="77777777" w:rsidR="008A1431" w:rsidRDefault="008A1431" w:rsidP="008A1431">
      <w:pPr>
        <w:jc w:val="both"/>
      </w:pPr>
    </w:p>
    <w:p w14:paraId="4DBC44E8" w14:textId="4F9527A1" w:rsidR="008A1431" w:rsidRDefault="00D930A9" w:rsidP="008A1431">
      <w:pPr>
        <w:jc w:val="both"/>
      </w:pPr>
      <w:r>
        <w:t>The core initiatives of the CCTs include d</w:t>
      </w:r>
      <w:r w:rsidR="008A1431">
        <w:t>evelop</w:t>
      </w:r>
      <w:r>
        <w:t>ing</w:t>
      </w:r>
      <w:r w:rsidR="008A1431">
        <w:t xml:space="preserve"> a common approach to mainstreaming </w:t>
      </w:r>
      <w:r>
        <w:t xml:space="preserve">CCTs </w:t>
      </w:r>
      <w:r w:rsidR="008A1431">
        <w:t>into NiE coordination and programming</w:t>
      </w:r>
      <w:r>
        <w:t>, d</w:t>
      </w:r>
      <w:r w:rsidR="008A1431">
        <w:t>esignat</w:t>
      </w:r>
      <w:r>
        <w:t>ing</w:t>
      </w:r>
      <w:r w:rsidR="008A1431">
        <w:t xml:space="preserve"> focal persons for priority </w:t>
      </w:r>
      <w:r>
        <w:t>C</w:t>
      </w:r>
      <w:r w:rsidR="00334A7E">
        <w:t>C</w:t>
      </w:r>
      <w:r>
        <w:t>Ts</w:t>
      </w:r>
      <w:r w:rsidR="008A1431">
        <w:t xml:space="preserve"> including for in-country support</w:t>
      </w:r>
      <w:r>
        <w:t>, m</w:t>
      </w:r>
      <w:r w:rsidR="008A1431">
        <w:t>ap</w:t>
      </w:r>
      <w:r>
        <w:t>ping</w:t>
      </w:r>
      <w:r w:rsidR="008A1431">
        <w:t xml:space="preserve"> and collat</w:t>
      </w:r>
      <w:r w:rsidR="00334A7E">
        <w:t>ing</w:t>
      </w:r>
      <w:r w:rsidR="008A1431">
        <w:t xml:space="preserve"> guidance for mainstreaming priority crosscutting issues in nutrition</w:t>
      </w:r>
      <w:r w:rsidR="00334A7E">
        <w:t>, and d</w:t>
      </w:r>
      <w:r w:rsidR="008A1431">
        <w:t>evelop</w:t>
      </w:r>
      <w:r w:rsidR="00334A7E">
        <w:t>ing</w:t>
      </w:r>
      <w:r w:rsidR="008A1431">
        <w:t xml:space="preserve"> simple practical tools for mainstreaming these in NiE programmes and coordination mechanisms</w:t>
      </w:r>
      <w:r w:rsidR="00334A7E">
        <w:t>.</w:t>
      </w:r>
    </w:p>
    <w:p w14:paraId="5DDD7386" w14:textId="492692AD" w:rsidR="00334A7E" w:rsidRDefault="00334A7E" w:rsidP="008A1431">
      <w:pPr>
        <w:jc w:val="both"/>
      </w:pPr>
      <w:r>
        <w:lastRenderedPageBreak/>
        <w:t xml:space="preserve">This will be achieved though the identification of focal point(s) and a </w:t>
      </w:r>
      <w:r w:rsidR="00410397">
        <w:t xml:space="preserve">workstream </w:t>
      </w:r>
      <w:r>
        <w:t>for each CCT.</w:t>
      </w:r>
    </w:p>
    <w:p w14:paraId="324D7902" w14:textId="0C6F59FE" w:rsidR="00481E58" w:rsidRDefault="00481E58">
      <w:pPr>
        <w:rPr>
          <w:b/>
          <w:bCs/>
          <w:u w:val="single"/>
        </w:rPr>
      </w:pPr>
    </w:p>
    <w:p w14:paraId="6827E8A4" w14:textId="5EB0738B" w:rsidR="007C6F1E" w:rsidRDefault="007C6F1E" w:rsidP="007C6F1E">
      <w:pPr>
        <w:jc w:val="both"/>
        <w:rPr>
          <w:b/>
          <w:bCs/>
          <w:u w:val="single"/>
        </w:rPr>
      </w:pPr>
      <w:r>
        <w:rPr>
          <w:b/>
          <w:bCs/>
          <w:u w:val="single"/>
        </w:rPr>
        <w:t xml:space="preserve">Overview </w:t>
      </w:r>
      <w:r w:rsidR="00ED53B7">
        <w:rPr>
          <w:b/>
          <w:bCs/>
          <w:u w:val="single"/>
        </w:rPr>
        <w:t xml:space="preserve">of </w:t>
      </w:r>
      <w:r>
        <w:rPr>
          <w:b/>
          <w:bCs/>
          <w:u w:val="single"/>
        </w:rPr>
        <w:t>Focal Points</w:t>
      </w:r>
      <w:r w:rsidR="00B43205">
        <w:rPr>
          <w:b/>
          <w:bCs/>
          <w:u w:val="single"/>
        </w:rPr>
        <w:t xml:space="preserve"> and </w:t>
      </w:r>
      <w:r w:rsidR="004E37F9">
        <w:rPr>
          <w:b/>
          <w:bCs/>
          <w:u w:val="single"/>
        </w:rPr>
        <w:t xml:space="preserve">their </w:t>
      </w:r>
      <w:r w:rsidR="00B43205">
        <w:rPr>
          <w:b/>
          <w:bCs/>
          <w:u w:val="single"/>
        </w:rPr>
        <w:t>responsibilities</w:t>
      </w:r>
    </w:p>
    <w:p w14:paraId="5E14D855" w14:textId="77777777" w:rsidR="007C6F1E" w:rsidRDefault="007C6F1E" w:rsidP="007C6F1E">
      <w:pPr>
        <w:jc w:val="both"/>
        <w:rPr>
          <w:b/>
          <w:bCs/>
          <w:u w:val="single"/>
        </w:rPr>
      </w:pPr>
    </w:p>
    <w:p w14:paraId="4075E59A" w14:textId="5CB30C12" w:rsidR="007C6F1E" w:rsidRDefault="007C6F1E" w:rsidP="007C6F1E">
      <w:pPr>
        <w:jc w:val="both"/>
      </w:pPr>
      <w:r>
        <w:t xml:space="preserve">Focal Points are individuals </w:t>
      </w:r>
      <w:r w:rsidR="00C62E73">
        <w:t xml:space="preserve">within the </w:t>
      </w:r>
      <w:r w:rsidR="00DA2B8A">
        <w:t xml:space="preserve">TST </w:t>
      </w:r>
      <w:r>
        <w:t>to whom requests for support related to the CCT will be referred and are expected to respond or facilitate a response. The focal points might also be required to review products (</w:t>
      </w:r>
      <w:r w:rsidR="00ED53B7">
        <w:t>e.g.,</w:t>
      </w:r>
      <w:r>
        <w:t xml:space="preserve"> </w:t>
      </w:r>
      <w:r w:rsidR="00396C10">
        <w:t>ToR’s</w:t>
      </w:r>
      <w:r>
        <w:t>) with a gender or disability (</w:t>
      </w:r>
      <w:r w:rsidR="00ED53B7">
        <w:t>f</w:t>
      </w:r>
      <w:r>
        <w:t xml:space="preserve">or example) lens, to ensure the CCT is adequately accounted for. The focal points are also likely to be the co-facilitators of the </w:t>
      </w:r>
      <w:r w:rsidR="008831A7">
        <w:t>Workstream</w:t>
      </w:r>
      <w:r>
        <w:t>.</w:t>
      </w:r>
    </w:p>
    <w:p w14:paraId="1B0D4BF6" w14:textId="77777777" w:rsidR="007C6F1E" w:rsidRDefault="007C6F1E">
      <w:pPr>
        <w:jc w:val="both"/>
      </w:pPr>
    </w:p>
    <w:p w14:paraId="243A48E8" w14:textId="11AF988F" w:rsidR="007C6F1E" w:rsidRDefault="007C6F1E" w:rsidP="007C6F1E">
      <w:pPr>
        <w:jc w:val="both"/>
        <w:rPr>
          <w:b/>
          <w:bCs/>
          <w:u w:val="single"/>
        </w:rPr>
      </w:pPr>
      <w:r>
        <w:rPr>
          <w:b/>
          <w:bCs/>
          <w:u w:val="single"/>
        </w:rPr>
        <w:t xml:space="preserve">Overview of </w:t>
      </w:r>
      <w:r w:rsidR="008831A7">
        <w:rPr>
          <w:b/>
          <w:bCs/>
          <w:u w:val="single"/>
        </w:rPr>
        <w:t>the Workstreams</w:t>
      </w:r>
      <w:r w:rsidR="00B43205">
        <w:rPr>
          <w:b/>
          <w:bCs/>
          <w:u w:val="single"/>
        </w:rPr>
        <w:t xml:space="preserve"> and </w:t>
      </w:r>
      <w:r w:rsidR="004E37F9">
        <w:rPr>
          <w:b/>
          <w:bCs/>
          <w:u w:val="single"/>
        </w:rPr>
        <w:t xml:space="preserve">their </w:t>
      </w:r>
      <w:r w:rsidR="00B43205">
        <w:rPr>
          <w:b/>
          <w:bCs/>
          <w:u w:val="single"/>
        </w:rPr>
        <w:t>responsibilities</w:t>
      </w:r>
    </w:p>
    <w:p w14:paraId="31ACBD48" w14:textId="77777777" w:rsidR="007C6F1E" w:rsidRDefault="007C6F1E" w:rsidP="007C6F1E">
      <w:pPr>
        <w:jc w:val="both"/>
        <w:rPr>
          <w:b/>
          <w:bCs/>
          <w:u w:val="single"/>
        </w:rPr>
      </w:pPr>
    </w:p>
    <w:p w14:paraId="478C5022" w14:textId="305AC8DD" w:rsidR="00D91F74" w:rsidRDefault="00E4194C" w:rsidP="007C6F1E">
      <w:pPr>
        <w:jc w:val="both"/>
      </w:pPr>
      <w:r>
        <w:t>Initially, t</w:t>
      </w:r>
      <w:r w:rsidR="007C6F1E">
        <w:t xml:space="preserve">he </w:t>
      </w:r>
      <w:r w:rsidR="008831A7">
        <w:t xml:space="preserve">Workstreams </w:t>
      </w:r>
      <w:r>
        <w:t xml:space="preserve">will be </w:t>
      </w:r>
      <w:r w:rsidR="007C6F1E">
        <w:t>made up of individuals from the TST and Alliance Leadership team, who have volunteered to take part, as well as some external individuals with a particular expertise</w:t>
      </w:r>
      <w:r w:rsidR="004D3559">
        <w:t xml:space="preserve"> as well as country level representation</w:t>
      </w:r>
      <w:r w:rsidR="00C73C4B">
        <w:t xml:space="preserve"> wherever possible</w:t>
      </w:r>
      <w:r w:rsidR="007C6F1E">
        <w:t xml:space="preserve">. These groups will operate and be structured however the members deem appropriate, but they will generally meet on a regular basis to </w:t>
      </w:r>
      <w:r w:rsidR="00C73C4B">
        <w:t xml:space="preserve">proactively advance </w:t>
      </w:r>
      <w:r w:rsidR="007C6F1E">
        <w:t>the work.</w:t>
      </w:r>
      <w:r w:rsidR="00000D46">
        <w:t xml:space="preserve"> </w:t>
      </w:r>
    </w:p>
    <w:p w14:paraId="3A640619" w14:textId="1B4510F2" w:rsidR="00947E48" w:rsidRDefault="00947E48" w:rsidP="007C6F1E">
      <w:pPr>
        <w:jc w:val="both"/>
      </w:pPr>
    </w:p>
    <w:p w14:paraId="2F10EEC4" w14:textId="4D4AFB91" w:rsidR="00947E48" w:rsidRDefault="00947E48" w:rsidP="007C6F1E">
      <w:pPr>
        <w:jc w:val="both"/>
      </w:pPr>
      <w:r>
        <w:t xml:space="preserve">The first activity of the </w:t>
      </w:r>
      <w:r w:rsidR="008831A7">
        <w:t xml:space="preserve">workstreams </w:t>
      </w:r>
      <w:r>
        <w:t xml:space="preserve">will be to define a ToR covering member responsibilities, co-chairing </w:t>
      </w:r>
      <w:r w:rsidR="00B627A2">
        <w:t xml:space="preserve">arrangement and responsibilities, </w:t>
      </w:r>
      <w:r w:rsidR="00396C10">
        <w:t>structure,</w:t>
      </w:r>
      <w:r w:rsidR="00B627A2">
        <w:t xml:space="preserve"> and ways of working.</w:t>
      </w:r>
    </w:p>
    <w:p w14:paraId="3FFE9405" w14:textId="77777777" w:rsidR="00D91F74" w:rsidRDefault="00D91F74" w:rsidP="007C6F1E">
      <w:pPr>
        <w:jc w:val="both"/>
      </w:pPr>
    </w:p>
    <w:p w14:paraId="119F6B75" w14:textId="1D50B54C" w:rsidR="00D91F74" w:rsidRDefault="00D91F74" w:rsidP="007C6F1E">
      <w:pPr>
        <w:jc w:val="both"/>
      </w:pPr>
      <w:r>
        <w:t>The main objectives will be as follows:</w:t>
      </w:r>
    </w:p>
    <w:p w14:paraId="0468C2F2" w14:textId="77777777" w:rsidR="00D91F74" w:rsidRDefault="00D91F74" w:rsidP="007C6F1E">
      <w:pPr>
        <w:jc w:val="both"/>
      </w:pPr>
    </w:p>
    <w:p w14:paraId="49812EF8" w14:textId="11B06D6F" w:rsidR="00D91F74" w:rsidRDefault="00D91F74" w:rsidP="00D91F74">
      <w:pPr>
        <w:pStyle w:val="ListParagraph"/>
        <w:numPr>
          <w:ilvl w:val="0"/>
          <w:numId w:val="17"/>
        </w:numPr>
        <w:jc w:val="both"/>
      </w:pPr>
      <w:r>
        <w:t>T</w:t>
      </w:r>
      <w:r w:rsidR="007C6F1E">
        <w:t xml:space="preserve">o develop the thinking around the CCT for the GNC, and articulate this in terms of strategy, </w:t>
      </w:r>
      <w:r w:rsidR="00396C10">
        <w:t>policy,</w:t>
      </w:r>
      <w:r w:rsidR="007C6F1E">
        <w:t xml:space="preserve"> or action plan documents</w:t>
      </w:r>
      <w:r w:rsidR="00ED53B7">
        <w:t>, to support mainstreaming</w:t>
      </w:r>
      <w:r w:rsidR="00AC4A5C">
        <w:t>.</w:t>
      </w:r>
    </w:p>
    <w:p w14:paraId="722E3EAA" w14:textId="7576F116" w:rsidR="007C6F1E" w:rsidRDefault="00F70BC0" w:rsidP="00D91F74">
      <w:pPr>
        <w:pStyle w:val="ListParagraph"/>
        <w:numPr>
          <w:ilvl w:val="0"/>
          <w:numId w:val="17"/>
        </w:numPr>
        <w:jc w:val="both"/>
      </w:pPr>
      <w:r>
        <w:t xml:space="preserve">To </w:t>
      </w:r>
      <w:r w:rsidR="007C6F1E">
        <w:t>develop tools and resources</w:t>
      </w:r>
      <w:r w:rsidR="002C4DCC">
        <w:t>, including FAQs,</w:t>
      </w:r>
      <w:r w:rsidR="007C6F1E">
        <w:t xml:space="preserve"> to support the work of the GNC in mainstreaming the CCT.</w:t>
      </w:r>
      <w:r w:rsidR="00D91F74">
        <w:t xml:space="preserve"> </w:t>
      </w:r>
    </w:p>
    <w:p w14:paraId="6681A76E" w14:textId="4C2FB800" w:rsidR="00ED53B7" w:rsidRDefault="00ED53B7" w:rsidP="00D91F74">
      <w:pPr>
        <w:pStyle w:val="ListParagraph"/>
        <w:numPr>
          <w:ilvl w:val="0"/>
          <w:numId w:val="17"/>
        </w:numPr>
        <w:jc w:val="both"/>
      </w:pPr>
      <w:r>
        <w:t xml:space="preserve">Depending on the priorities of the </w:t>
      </w:r>
      <w:r w:rsidR="00EF37C8">
        <w:t>Workstream</w:t>
      </w:r>
      <w:r>
        <w:t xml:space="preserve">, they may also play an active role </w:t>
      </w:r>
      <w:r w:rsidR="00D91F74">
        <w:t>in conversations related to the CCT within nutrition or the humanitarian sector.</w:t>
      </w:r>
    </w:p>
    <w:p w14:paraId="044D3D20" w14:textId="77777777" w:rsidR="00D91F74" w:rsidRDefault="00D91F74" w:rsidP="00D91F74">
      <w:pPr>
        <w:pStyle w:val="ListParagraph"/>
        <w:numPr>
          <w:ilvl w:val="0"/>
          <w:numId w:val="14"/>
        </w:numPr>
        <w:jc w:val="both"/>
      </w:pPr>
      <w:r>
        <w:t>Champion the cause of the CCT within and outside of the GNC/GNC Technical Alliance on the subject matter</w:t>
      </w:r>
    </w:p>
    <w:p w14:paraId="222EB8D0" w14:textId="77777777" w:rsidR="00D91F74" w:rsidRDefault="00D91F74" w:rsidP="00D91F74">
      <w:pPr>
        <w:pStyle w:val="ListParagraph"/>
        <w:numPr>
          <w:ilvl w:val="0"/>
          <w:numId w:val="14"/>
        </w:numPr>
        <w:jc w:val="both"/>
      </w:pPr>
      <w:r>
        <w:t>Be available to coordinate and rapidly address questions that are received by the Alliance or challenges met by GNC/Alliance team members</w:t>
      </w:r>
    </w:p>
    <w:p w14:paraId="7326EFB3" w14:textId="77777777" w:rsidR="007C6F1E" w:rsidRDefault="007C6F1E" w:rsidP="007C6F1E">
      <w:pPr>
        <w:jc w:val="both"/>
      </w:pPr>
    </w:p>
    <w:p w14:paraId="37C68E41" w14:textId="3A75DF16" w:rsidR="007C6F1E" w:rsidRDefault="00613F8F" w:rsidP="007C6F1E">
      <w:pPr>
        <w:jc w:val="both"/>
      </w:pPr>
      <w:r>
        <w:t xml:space="preserve">Each </w:t>
      </w:r>
      <w:r w:rsidR="00EF37C8">
        <w:t xml:space="preserve">Workstream </w:t>
      </w:r>
      <w:r>
        <w:t xml:space="preserve">has a different history and will be free to have a different trajectory, relevant to the CCT and the groups evolution. </w:t>
      </w:r>
      <w:r w:rsidR="007C6F1E">
        <w:t>It is likely for localisation and gender</w:t>
      </w:r>
      <w:r w:rsidR="00A15024">
        <w:t xml:space="preserve"> that </w:t>
      </w:r>
      <w:r w:rsidR="007C6F1E">
        <w:t xml:space="preserve">these </w:t>
      </w:r>
      <w:r w:rsidR="007638ED">
        <w:t xml:space="preserve">workstreams will </w:t>
      </w:r>
      <w:r w:rsidR="00A91F2E">
        <w:t xml:space="preserve">capitalize on the efforts over the past </w:t>
      </w:r>
      <w:r w:rsidR="00B43205">
        <w:t xml:space="preserve">year by </w:t>
      </w:r>
      <w:r w:rsidR="00A15024">
        <w:t>expand</w:t>
      </w:r>
      <w:r w:rsidR="00B43205">
        <w:t xml:space="preserve">ing on </w:t>
      </w:r>
      <w:r w:rsidR="007638ED">
        <w:t xml:space="preserve">the </w:t>
      </w:r>
      <w:r w:rsidR="007C6F1E">
        <w:t>existing TST Anti-racism and Localisation Workstream and the TST Gender Workstream.</w:t>
      </w:r>
    </w:p>
    <w:p w14:paraId="66461E17" w14:textId="26DC1F1F" w:rsidR="00BE0839" w:rsidRDefault="00BE0839">
      <w:pPr>
        <w:jc w:val="both"/>
      </w:pPr>
    </w:p>
    <w:p w14:paraId="65A2A46D" w14:textId="443BB974" w:rsidR="007806A9" w:rsidRPr="00C341CF" w:rsidRDefault="007806A9">
      <w:pPr>
        <w:jc w:val="both"/>
      </w:pPr>
      <w:r>
        <w:t>For further questions or comments, contact: Andi Kendle (</w:t>
      </w:r>
      <w:hyperlink r:id="rId13" w:history="1">
        <w:r w:rsidRPr="004F6BFD">
          <w:rPr>
            <w:rStyle w:val="Hyperlink"/>
          </w:rPr>
          <w:t>akendle@actionagainsthunger.ca</w:t>
        </w:r>
      </w:hyperlink>
      <w:r>
        <w:t>) or Ben Allen (</w:t>
      </w:r>
      <w:hyperlink r:id="rId14" w:history="1">
        <w:r w:rsidRPr="004F6BFD">
          <w:rPr>
            <w:rStyle w:val="Hyperlink"/>
          </w:rPr>
          <w:t>ballen@actionagainsthunger.ca</w:t>
        </w:r>
      </w:hyperlink>
      <w:r>
        <w:t>) within the GNC Technical Alliance leadership team.</w:t>
      </w:r>
    </w:p>
    <w:p w14:paraId="4FF6E8C4" w14:textId="4E4C79B3" w:rsidR="00BE0839" w:rsidRDefault="00BE0839">
      <w:pPr>
        <w:jc w:val="both"/>
        <w:rPr>
          <w:u w:val="single"/>
        </w:rPr>
      </w:pPr>
    </w:p>
    <w:p w14:paraId="332763BD" w14:textId="77777777" w:rsidR="00BE0839" w:rsidRPr="000E410C" w:rsidRDefault="00BE0839" w:rsidP="00A03E2E">
      <w:pPr>
        <w:jc w:val="both"/>
      </w:pPr>
    </w:p>
    <w:sectPr w:rsidR="00BE0839" w:rsidRPr="000E410C" w:rsidSect="0019237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A015" w14:textId="77777777" w:rsidR="00A97F2B" w:rsidRDefault="00A97F2B" w:rsidP="00997278">
      <w:r>
        <w:separator/>
      </w:r>
    </w:p>
  </w:endnote>
  <w:endnote w:type="continuationSeparator" w:id="0">
    <w:p w14:paraId="42E8C483" w14:textId="77777777" w:rsidR="00A97F2B" w:rsidRDefault="00A97F2B" w:rsidP="00997278">
      <w:r>
        <w:continuationSeparator/>
      </w:r>
    </w:p>
  </w:endnote>
  <w:endnote w:type="continuationNotice" w:id="1">
    <w:p w14:paraId="67DB0706" w14:textId="77777777" w:rsidR="00A97F2B" w:rsidRDefault="00A97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BC1B" w14:textId="77777777" w:rsidR="00C25B8E" w:rsidRDefault="00C25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3891" w14:textId="77777777" w:rsidR="00C25B8E" w:rsidRDefault="00C25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52C5" w14:textId="77777777" w:rsidR="00C25B8E" w:rsidRDefault="00C2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741D" w14:textId="77777777" w:rsidR="00A97F2B" w:rsidRDefault="00A97F2B" w:rsidP="00997278">
      <w:r>
        <w:separator/>
      </w:r>
    </w:p>
  </w:footnote>
  <w:footnote w:type="continuationSeparator" w:id="0">
    <w:p w14:paraId="34DEAA88" w14:textId="77777777" w:rsidR="00A97F2B" w:rsidRDefault="00A97F2B" w:rsidP="00997278">
      <w:r>
        <w:continuationSeparator/>
      </w:r>
    </w:p>
  </w:footnote>
  <w:footnote w:type="continuationNotice" w:id="1">
    <w:p w14:paraId="1D63580D" w14:textId="77777777" w:rsidR="00A97F2B" w:rsidRDefault="00A97F2B"/>
  </w:footnote>
  <w:footnote w:id="2">
    <w:p w14:paraId="2F2868CC" w14:textId="0B97C1DA" w:rsidR="00997278" w:rsidRPr="000B4A10" w:rsidRDefault="00997278" w:rsidP="00997278">
      <w:pPr>
        <w:jc w:val="both"/>
        <w:rPr>
          <w:rFonts w:asciiTheme="majorHAnsi" w:hAnsiTheme="majorHAnsi" w:cstheme="majorHAnsi"/>
          <w:bCs/>
        </w:rPr>
      </w:pPr>
      <w:r>
        <w:rPr>
          <w:rStyle w:val="FootnoteReference"/>
        </w:rPr>
        <w:footnoteRef/>
      </w:r>
      <w:r>
        <w:t xml:space="preserve"> </w:t>
      </w:r>
      <w:r w:rsidRPr="003913C2">
        <w:rPr>
          <w:rFonts w:asciiTheme="majorHAnsi" w:hAnsiTheme="majorHAnsi" w:cstheme="majorHAnsi"/>
          <w:bCs/>
          <w:sz w:val="18"/>
          <w:szCs w:val="18"/>
        </w:rPr>
        <w:t xml:space="preserve">The Global Nutrition Cluster Technical Alliance (GNC Technical Alliance or Alliance) is an initiative for the mutual benefit of the nutrition community, and affected populations, to improve the quality of nutrition in emergency preparedness, </w:t>
      </w:r>
      <w:r w:rsidR="00396C10" w:rsidRPr="003913C2">
        <w:rPr>
          <w:rFonts w:asciiTheme="majorHAnsi" w:hAnsiTheme="majorHAnsi" w:cstheme="majorHAnsi"/>
          <w:bCs/>
          <w:sz w:val="18"/>
          <w:szCs w:val="18"/>
        </w:rPr>
        <w:t>response,</w:t>
      </w:r>
      <w:r w:rsidRPr="003913C2">
        <w:rPr>
          <w:rFonts w:asciiTheme="majorHAnsi" w:hAnsiTheme="majorHAnsi" w:cstheme="majorHAnsi"/>
          <w:bCs/>
          <w:sz w:val="18"/>
          <w:szCs w:val="18"/>
        </w:rPr>
        <w:t xml:space="preserve"> and recovery. The GNC Technical Alliance Partners are made up of the GNC partners and other individuals, organizations, </w:t>
      </w:r>
      <w:r w:rsidR="00396C10" w:rsidRPr="003913C2">
        <w:rPr>
          <w:rFonts w:asciiTheme="majorHAnsi" w:hAnsiTheme="majorHAnsi" w:cstheme="majorHAnsi"/>
          <w:bCs/>
          <w:sz w:val="18"/>
          <w:szCs w:val="18"/>
        </w:rPr>
        <w:t>initiatives,</w:t>
      </w:r>
      <w:r w:rsidRPr="003913C2">
        <w:rPr>
          <w:rFonts w:asciiTheme="majorHAnsi" w:hAnsiTheme="majorHAnsi" w:cstheme="majorHAnsi"/>
          <w:bCs/>
          <w:sz w:val="18"/>
          <w:szCs w:val="18"/>
        </w:rPr>
        <w:t xml:space="preserve"> and academia at global, </w:t>
      </w:r>
      <w:r w:rsidR="00396C10" w:rsidRPr="003913C2">
        <w:rPr>
          <w:rFonts w:asciiTheme="majorHAnsi" w:hAnsiTheme="majorHAnsi" w:cstheme="majorHAnsi"/>
          <w:bCs/>
          <w:sz w:val="18"/>
          <w:szCs w:val="18"/>
        </w:rPr>
        <w:t>regional,</w:t>
      </w:r>
      <w:r w:rsidRPr="003913C2">
        <w:rPr>
          <w:rFonts w:asciiTheme="majorHAnsi" w:hAnsiTheme="majorHAnsi" w:cstheme="majorHAnsi"/>
          <w:bCs/>
          <w:sz w:val="18"/>
          <w:szCs w:val="18"/>
        </w:rPr>
        <w:t xml:space="preserve"> and national levels that hold nutrition technical expertise across the humanitarian and development spheres. </w:t>
      </w:r>
      <w:r w:rsidRPr="005250C2">
        <w:rPr>
          <w:rFonts w:asciiTheme="majorHAnsi" w:hAnsiTheme="majorHAnsi" w:cstheme="majorHAnsi"/>
          <w:bCs/>
          <w:sz w:val="18"/>
          <w:szCs w:val="18"/>
        </w:rPr>
        <w:t xml:space="preserve">The Alliance </w:t>
      </w:r>
      <w:r w:rsidR="00F0481E" w:rsidRPr="005250C2">
        <w:rPr>
          <w:rFonts w:asciiTheme="majorHAnsi" w:hAnsiTheme="majorHAnsi" w:cstheme="majorHAnsi"/>
          <w:bCs/>
          <w:sz w:val="18"/>
          <w:szCs w:val="18"/>
        </w:rPr>
        <w:t>Technical Support Team (TST) aims to meet the specific needs of the practitioner in a timely, cost effective, and sustainable manner</w:t>
      </w:r>
      <w:r w:rsidRPr="005250C2">
        <w:rPr>
          <w:rFonts w:asciiTheme="majorHAnsi" w:hAnsiTheme="majorHAnsi" w:cstheme="majorHAnsi"/>
          <w:bCs/>
          <w:sz w:val="18"/>
          <w:szCs w:val="18"/>
        </w:rPr>
        <w:t>.</w:t>
      </w:r>
      <w:r w:rsidRPr="003913C2">
        <w:rPr>
          <w:rFonts w:asciiTheme="majorHAnsi" w:hAnsiTheme="majorHAnsi" w:cstheme="majorHAnsi"/>
          <w:bCs/>
          <w:sz w:val="18"/>
          <w:szCs w:val="18"/>
        </w:rPr>
        <w:t xml:space="preserve"> More information can be found here: ta.nutritioncluster.net.</w:t>
      </w:r>
    </w:p>
    <w:p w14:paraId="04296A7F" w14:textId="3C491C7F" w:rsidR="00997278" w:rsidRDefault="009972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D775" w14:textId="18AA882C" w:rsidR="00C25B8E" w:rsidRDefault="00C2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8AB6" w14:textId="6136B029" w:rsidR="00C25B8E" w:rsidRDefault="00C2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F011" w14:textId="38E08712" w:rsidR="00C25B8E" w:rsidRDefault="00C2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0275"/>
    <w:multiLevelType w:val="hybridMultilevel"/>
    <w:tmpl w:val="C69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42A2"/>
    <w:multiLevelType w:val="hybridMultilevel"/>
    <w:tmpl w:val="015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530C1"/>
    <w:multiLevelType w:val="hybridMultilevel"/>
    <w:tmpl w:val="3682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97D06"/>
    <w:multiLevelType w:val="hybridMultilevel"/>
    <w:tmpl w:val="2292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741AB"/>
    <w:multiLevelType w:val="hybridMultilevel"/>
    <w:tmpl w:val="FBCC5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C2988"/>
    <w:multiLevelType w:val="hybridMultilevel"/>
    <w:tmpl w:val="F1FE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2227B"/>
    <w:multiLevelType w:val="hybridMultilevel"/>
    <w:tmpl w:val="5C407B0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452846E4"/>
    <w:multiLevelType w:val="hybridMultilevel"/>
    <w:tmpl w:val="A844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E76E6"/>
    <w:multiLevelType w:val="hybridMultilevel"/>
    <w:tmpl w:val="5166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F3989"/>
    <w:multiLevelType w:val="hybridMultilevel"/>
    <w:tmpl w:val="0E0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F46EC"/>
    <w:multiLevelType w:val="hybridMultilevel"/>
    <w:tmpl w:val="37C8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C3224"/>
    <w:multiLevelType w:val="hybridMultilevel"/>
    <w:tmpl w:val="7CAAE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D305B2"/>
    <w:multiLevelType w:val="hybridMultilevel"/>
    <w:tmpl w:val="6DB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14DCA"/>
    <w:multiLevelType w:val="hybridMultilevel"/>
    <w:tmpl w:val="23E0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B5198"/>
    <w:multiLevelType w:val="hybridMultilevel"/>
    <w:tmpl w:val="19DC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D669D"/>
    <w:multiLevelType w:val="hybridMultilevel"/>
    <w:tmpl w:val="A81C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04F2"/>
    <w:multiLevelType w:val="hybridMultilevel"/>
    <w:tmpl w:val="C72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5"/>
  </w:num>
  <w:num w:numId="5">
    <w:abstractNumId w:val="12"/>
  </w:num>
  <w:num w:numId="6">
    <w:abstractNumId w:val="3"/>
  </w:num>
  <w:num w:numId="7">
    <w:abstractNumId w:val="14"/>
  </w:num>
  <w:num w:numId="8">
    <w:abstractNumId w:val="7"/>
  </w:num>
  <w:num w:numId="9">
    <w:abstractNumId w:val="15"/>
  </w:num>
  <w:num w:numId="10">
    <w:abstractNumId w:val="2"/>
  </w:num>
  <w:num w:numId="11">
    <w:abstractNumId w:val="8"/>
  </w:num>
  <w:num w:numId="12">
    <w:abstractNumId w:val="11"/>
  </w:num>
  <w:num w:numId="13">
    <w:abstractNumId w:val="6"/>
  </w:num>
  <w:num w:numId="14">
    <w:abstractNumId w:val="10"/>
  </w:num>
  <w:num w:numId="15">
    <w:abstractNumId w:val="9"/>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0C"/>
    <w:rsid w:val="00000D46"/>
    <w:rsid w:val="00007B99"/>
    <w:rsid w:val="00015D29"/>
    <w:rsid w:val="00027F46"/>
    <w:rsid w:val="000543E8"/>
    <w:rsid w:val="0007746C"/>
    <w:rsid w:val="00097ACB"/>
    <w:rsid w:val="000C5B6F"/>
    <w:rsid w:val="000D7858"/>
    <w:rsid w:val="000E410C"/>
    <w:rsid w:val="000E51AD"/>
    <w:rsid w:val="000F1457"/>
    <w:rsid w:val="00113F2E"/>
    <w:rsid w:val="00140E80"/>
    <w:rsid w:val="00152F9C"/>
    <w:rsid w:val="00161465"/>
    <w:rsid w:val="001614D7"/>
    <w:rsid w:val="00171B86"/>
    <w:rsid w:val="00183D15"/>
    <w:rsid w:val="001855B1"/>
    <w:rsid w:val="00192379"/>
    <w:rsid w:val="00196B5D"/>
    <w:rsid w:val="001E1FF4"/>
    <w:rsid w:val="001F6274"/>
    <w:rsid w:val="00224F0D"/>
    <w:rsid w:val="00236998"/>
    <w:rsid w:val="00237833"/>
    <w:rsid w:val="00245A86"/>
    <w:rsid w:val="00257D79"/>
    <w:rsid w:val="00266A50"/>
    <w:rsid w:val="002839C9"/>
    <w:rsid w:val="002B17BC"/>
    <w:rsid w:val="002C0A9F"/>
    <w:rsid w:val="002C4DCC"/>
    <w:rsid w:val="002D26EF"/>
    <w:rsid w:val="002D4F18"/>
    <w:rsid w:val="002F1C81"/>
    <w:rsid w:val="003107C9"/>
    <w:rsid w:val="00313BF4"/>
    <w:rsid w:val="00334A7E"/>
    <w:rsid w:val="0033539F"/>
    <w:rsid w:val="00362C05"/>
    <w:rsid w:val="00372A2D"/>
    <w:rsid w:val="00381ED0"/>
    <w:rsid w:val="003913C2"/>
    <w:rsid w:val="00396C10"/>
    <w:rsid w:val="003C174E"/>
    <w:rsid w:val="003D22C0"/>
    <w:rsid w:val="003D317A"/>
    <w:rsid w:val="00403CB6"/>
    <w:rsid w:val="00404223"/>
    <w:rsid w:val="00410397"/>
    <w:rsid w:val="004171DE"/>
    <w:rsid w:val="0045511F"/>
    <w:rsid w:val="004710C7"/>
    <w:rsid w:val="004760CB"/>
    <w:rsid w:val="00481E58"/>
    <w:rsid w:val="00483D09"/>
    <w:rsid w:val="00496DC6"/>
    <w:rsid w:val="004B4DB4"/>
    <w:rsid w:val="004D3559"/>
    <w:rsid w:val="004E37F9"/>
    <w:rsid w:val="004F0A82"/>
    <w:rsid w:val="004F0F1A"/>
    <w:rsid w:val="0051607E"/>
    <w:rsid w:val="00520175"/>
    <w:rsid w:val="005250C2"/>
    <w:rsid w:val="005263F6"/>
    <w:rsid w:val="00545487"/>
    <w:rsid w:val="0057217E"/>
    <w:rsid w:val="00573E9D"/>
    <w:rsid w:val="005C3863"/>
    <w:rsid w:val="005C7102"/>
    <w:rsid w:val="005E792A"/>
    <w:rsid w:val="00613F8F"/>
    <w:rsid w:val="00617DDA"/>
    <w:rsid w:val="00622D03"/>
    <w:rsid w:val="0064789F"/>
    <w:rsid w:val="0065004F"/>
    <w:rsid w:val="00654D3D"/>
    <w:rsid w:val="006755B2"/>
    <w:rsid w:val="00685624"/>
    <w:rsid w:val="006A30C3"/>
    <w:rsid w:val="006B3D38"/>
    <w:rsid w:val="006D489B"/>
    <w:rsid w:val="00722640"/>
    <w:rsid w:val="00734EEE"/>
    <w:rsid w:val="00742BFD"/>
    <w:rsid w:val="00744694"/>
    <w:rsid w:val="0074537B"/>
    <w:rsid w:val="007638ED"/>
    <w:rsid w:val="007806A9"/>
    <w:rsid w:val="00796432"/>
    <w:rsid w:val="007C1322"/>
    <w:rsid w:val="007C6F1E"/>
    <w:rsid w:val="007D5676"/>
    <w:rsid w:val="007F00CD"/>
    <w:rsid w:val="00805F4A"/>
    <w:rsid w:val="00827002"/>
    <w:rsid w:val="00863F11"/>
    <w:rsid w:val="00864956"/>
    <w:rsid w:val="0086674B"/>
    <w:rsid w:val="0087496E"/>
    <w:rsid w:val="008831A7"/>
    <w:rsid w:val="00890789"/>
    <w:rsid w:val="008A1431"/>
    <w:rsid w:val="008E433C"/>
    <w:rsid w:val="00903312"/>
    <w:rsid w:val="00911274"/>
    <w:rsid w:val="00920E13"/>
    <w:rsid w:val="00947377"/>
    <w:rsid w:val="00947E48"/>
    <w:rsid w:val="00984903"/>
    <w:rsid w:val="00986143"/>
    <w:rsid w:val="00997278"/>
    <w:rsid w:val="009C4BC1"/>
    <w:rsid w:val="009F6882"/>
    <w:rsid w:val="00A03E2E"/>
    <w:rsid w:val="00A15024"/>
    <w:rsid w:val="00A16397"/>
    <w:rsid w:val="00A66F66"/>
    <w:rsid w:val="00A91F2E"/>
    <w:rsid w:val="00A96CEF"/>
    <w:rsid w:val="00A97F2B"/>
    <w:rsid w:val="00AA3734"/>
    <w:rsid w:val="00AA691D"/>
    <w:rsid w:val="00AC085F"/>
    <w:rsid w:val="00AC4A5C"/>
    <w:rsid w:val="00AD0B95"/>
    <w:rsid w:val="00AE3E14"/>
    <w:rsid w:val="00AF481F"/>
    <w:rsid w:val="00B07B58"/>
    <w:rsid w:val="00B159FA"/>
    <w:rsid w:val="00B26C89"/>
    <w:rsid w:val="00B43205"/>
    <w:rsid w:val="00B627A2"/>
    <w:rsid w:val="00B62A16"/>
    <w:rsid w:val="00B74846"/>
    <w:rsid w:val="00B813C6"/>
    <w:rsid w:val="00B81DCD"/>
    <w:rsid w:val="00B95D54"/>
    <w:rsid w:val="00BC169C"/>
    <w:rsid w:val="00BD147B"/>
    <w:rsid w:val="00BE0839"/>
    <w:rsid w:val="00BE5936"/>
    <w:rsid w:val="00C010FE"/>
    <w:rsid w:val="00C1072F"/>
    <w:rsid w:val="00C25B8E"/>
    <w:rsid w:val="00C341CF"/>
    <w:rsid w:val="00C62E73"/>
    <w:rsid w:val="00C73C4B"/>
    <w:rsid w:val="00C8165E"/>
    <w:rsid w:val="00C97954"/>
    <w:rsid w:val="00CA47CF"/>
    <w:rsid w:val="00CC0BE0"/>
    <w:rsid w:val="00CD4A8A"/>
    <w:rsid w:val="00CD4C1F"/>
    <w:rsid w:val="00CF6412"/>
    <w:rsid w:val="00D03AD6"/>
    <w:rsid w:val="00D10384"/>
    <w:rsid w:val="00D30C2B"/>
    <w:rsid w:val="00D36DA9"/>
    <w:rsid w:val="00D37EDB"/>
    <w:rsid w:val="00D66D5D"/>
    <w:rsid w:val="00D8418E"/>
    <w:rsid w:val="00D849D7"/>
    <w:rsid w:val="00D91F74"/>
    <w:rsid w:val="00D930A9"/>
    <w:rsid w:val="00DA2B8A"/>
    <w:rsid w:val="00DA2BCF"/>
    <w:rsid w:val="00DC4AC2"/>
    <w:rsid w:val="00DE1DAC"/>
    <w:rsid w:val="00E4194C"/>
    <w:rsid w:val="00E736DC"/>
    <w:rsid w:val="00EA39E4"/>
    <w:rsid w:val="00EB2297"/>
    <w:rsid w:val="00ED53B7"/>
    <w:rsid w:val="00EF236F"/>
    <w:rsid w:val="00EF37C8"/>
    <w:rsid w:val="00F0481E"/>
    <w:rsid w:val="00F17335"/>
    <w:rsid w:val="00F25C96"/>
    <w:rsid w:val="00F55C91"/>
    <w:rsid w:val="00F70BC0"/>
    <w:rsid w:val="00F72C76"/>
    <w:rsid w:val="00F810F8"/>
    <w:rsid w:val="00F90685"/>
    <w:rsid w:val="00F93ED5"/>
    <w:rsid w:val="00FA55E4"/>
    <w:rsid w:val="00FB440F"/>
    <w:rsid w:val="00FF6877"/>
    <w:rsid w:val="01B6A5E3"/>
    <w:rsid w:val="030EAE45"/>
    <w:rsid w:val="03B2FB4E"/>
    <w:rsid w:val="03EA5C2C"/>
    <w:rsid w:val="06593BD7"/>
    <w:rsid w:val="0960CC58"/>
    <w:rsid w:val="096C58B7"/>
    <w:rsid w:val="09777ACC"/>
    <w:rsid w:val="09F66E40"/>
    <w:rsid w:val="0E1B151E"/>
    <w:rsid w:val="0EF53A7B"/>
    <w:rsid w:val="100BB91D"/>
    <w:rsid w:val="10BB8712"/>
    <w:rsid w:val="1196FFEE"/>
    <w:rsid w:val="1242CFDC"/>
    <w:rsid w:val="1289FF45"/>
    <w:rsid w:val="139C5782"/>
    <w:rsid w:val="13BC19E4"/>
    <w:rsid w:val="15365A93"/>
    <w:rsid w:val="17FE7AC2"/>
    <w:rsid w:val="1921343A"/>
    <w:rsid w:val="1B6822A9"/>
    <w:rsid w:val="1CFE417D"/>
    <w:rsid w:val="1F80E268"/>
    <w:rsid w:val="20C5713C"/>
    <w:rsid w:val="20F77014"/>
    <w:rsid w:val="24002BFD"/>
    <w:rsid w:val="25132C76"/>
    <w:rsid w:val="278E67BB"/>
    <w:rsid w:val="286EEDC5"/>
    <w:rsid w:val="2975ECA6"/>
    <w:rsid w:val="29C9DCDD"/>
    <w:rsid w:val="2BC2F183"/>
    <w:rsid w:val="2C56897B"/>
    <w:rsid w:val="2DD70300"/>
    <w:rsid w:val="30A1ABF7"/>
    <w:rsid w:val="3215B841"/>
    <w:rsid w:val="33BCE495"/>
    <w:rsid w:val="33D7838A"/>
    <w:rsid w:val="33F3AE43"/>
    <w:rsid w:val="34D8FB9E"/>
    <w:rsid w:val="35B649C3"/>
    <w:rsid w:val="35FD2785"/>
    <w:rsid w:val="379AE3E4"/>
    <w:rsid w:val="379D3577"/>
    <w:rsid w:val="3B688E3F"/>
    <w:rsid w:val="3CD5D9CF"/>
    <w:rsid w:val="3DFC6C54"/>
    <w:rsid w:val="3F13D1E7"/>
    <w:rsid w:val="3F174F47"/>
    <w:rsid w:val="4050EEFC"/>
    <w:rsid w:val="450B37C2"/>
    <w:rsid w:val="45510CC4"/>
    <w:rsid w:val="4584E529"/>
    <w:rsid w:val="460D9AC3"/>
    <w:rsid w:val="46ECDD25"/>
    <w:rsid w:val="4737EF46"/>
    <w:rsid w:val="48B2D246"/>
    <w:rsid w:val="4A25CAE3"/>
    <w:rsid w:val="4A9174DD"/>
    <w:rsid w:val="4AF9F10B"/>
    <w:rsid w:val="4D8AC7CC"/>
    <w:rsid w:val="4E763F8F"/>
    <w:rsid w:val="50EFDA8D"/>
    <w:rsid w:val="5166D3EB"/>
    <w:rsid w:val="51989159"/>
    <w:rsid w:val="51E9BACA"/>
    <w:rsid w:val="5259CEB7"/>
    <w:rsid w:val="53224205"/>
    <w:rsid w:val="53858B2B"/>
    <w:rsid w:val="53F9FFE3"/>
    <w:rsid w:val="5577228D"/>
    <w:rsid w:val="567462E3"/>
    <w:rsid w:val="571F81D2"/>
    <w:rsid w:val="57E220E8"/>
    <w:rsid w:val="58436357"/>
    <w:rsid w:val="5860E9D4"/>
    <w:rsid w:val="58E14CF2"/>
    <w:rsid w:val="596756B1"/>
    <w:rsid w:val="5B2FB1A0"/>
    <w:rsid w:val="5B887BF5"/>
    <w:rsid w:val="5B988A96"/>
    <w:rsid w:val="5CB259A4"/>
    <w:rsid w:val="5D861836"/>
    <w:rsid w:val="5D92B4F2"/>
    <w:rsid w:val="5E3519F5"/>
    <w:rsid w:val="5E7B3060"/>
    <w:rsid w:val="5EA9F9BB"/>
    <w:rsid w:val="5ED02B58"/>
    <w:rsid w:val="5EF718E9"/>
    <w:rsid w:val="5F992FF4"/>
    <w:rsid w:val="600A5BC4"/>
    <w:rsid w:val="61C992C6"/>
    <w:rsid w:val="61CEF802"/>
    <w:rsid w:val="61EEA3BD"/>
    <w:rsid w:val="638242B5"/>
    <w:rsid w:val="63F95D78"/>
    <w:rsid w:val="641664F5"/>
    <w:rsid w:val="658D36BD"/>
    <w:rsid w:val="65C4602B"/>
    <w:rsid w:val="6735E4A7"/>
    <w:rsid w:val="6763EE30"/>
    <w:rsid w:val="6BDCA801"/>
    <w:rsid w:val="6CF1B3CF"/>
    <w:rsid w:val="6E719A9B"/>
    <w:rsid w:val="6EB77396"/>
    <w:rsid w:val="6EF93BF2"/>
    <w:rsid w:val="72A6B7AB"/>
    <w:rsid w:val="74A810F2"/>
    <w:rsid w:val="75D7D6CA"/>
    <w:rsid w:val="763ABB21"/>
    <w:rsid w:val="764ECA79"/>
    <w:rsid w:val="77D43F97"/>
    <w:rsid w:val="77EA8AC7"/>
    <w:rsid w:val="7AA668C9"/>
    <w:rsid w:val="7C946E4F"/>
    <w:rsid w:val="7E3B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B797"/>
  <w15:chartTrackingRefBased/>
  <w15:docId w15:val="{60FEFB0B-BBE2-41CB-AF9D-7EFEF963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0C"/>
    <w:pPr>
      <w:ind w:left="720"/>
      <w:contextualSpacing/>
    </w:pPr>
  </w:style>
  <w:style w:type="character" w:styleId="CommentReference">
    <w:name w:val="annotation reference"/>
    <w:basedOn w:val="DefaultParagraphFont"/>
    <w:uiPriority w:val="99"/>
    <w:semiHidden/>
    <w:unhideWhenUsed/>
    <w:rsid w:val="00027F46"/>
    <w:rPr>
      <w:sz w:val="16"/>
      <w:szCs w:val="16"/>
    </w:rPr>
  </w:style>
  <w:style w:type="paragraph" w:styleId="CommentText">
    <w:name w:val="annotation text"/>
    <w:basedOn w:val="Normal"/>
    <w:link w:val="CommentTextChar"/>
    <w:uiPriority w:val="99"/>
    <w:unhideWhenUsed/>
    <w:rsid w:val="00027F46"/>
    <w:rPr>
      <w:sz w:val="20"/>
      <w:szCs w:val="20"/>
    </w:rPr>
  </w:style>
  <w:style w:type="character" w:customStyle="1" w:styleId="CommentTextChar">
    <w:name w:val="Comment Text Char"/>
    <w:basedOn w:val="DefaultParagraphFont"/>
    <w:link w:val="CommentText"/>
    <w:uiPriority w:val="99"/>
    <w:rsid w:val="00027F46"/>
    <w:rPr>
      <w:sz w:val="20"/>
      <w:szCs w:val="20"/>
    </w:rPr>
  </w:style>
  <w:style w:type="paragraph" w:styleId="CommentSubject">
    <w:name w:val="annotation subject"/>
    <w:basedOn w:val="CommentText"/>
    <w:next w:val="CommentText"/>
    <w:link w:val="CommentSubjectChar"/>
    <w:uiPriority w:val="99"/>
    <w:semiHidden/>
    <w:unhideWhenUsed/>
    <w:rsid w:val="00027F46"/>
    <w:rPr>
      <w:b/>
      <w:bCs/>
    </w:rPr>
  </w:style>
  <w:style w:type="character" w:customStyle="1" w:styleId="CommentSubjectChar">
    <w:name w:val="Comment Subject Char"/>
    <w:basedOn w:val="CommentTextChar"/>
    <w:link w:val="CommentSubject"/>
    <w:uiPriority w:val="99"/>
    <w:semiHidden/>
    <w:rsid w:val="00027F46"/>
    <w:rPr>
      <w:b/>
      <w:bCs/>
      <w:sz w:val="20"/>
      <w:szCs w:val="20"/>
    </w:rPr>
  </w:style>
  <w:style w:type="paragraph" w:styleId="BalloonText">
    <w:name w:val="Balloon Text"/>
    <w:basedOn w:val="Normal"/>
    <w:link w:val="BalloonTextChar"/>
    <w:uiPriority w:val="99"/>
    <w:semiHidden/>
    <w:unhideWhenUsed/>
    <w:rsid w:val="00027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46"/>
    <w:rPr>
      <w:rFonts w:ascii="Segoe UI" w:hAnsi="Segoe UI" w:cs="Segoe UI"/>
      <w:sz w:val="18"/>
      <w:szCs w:val="18"/>
    </w:rPr>
  </w:style>
  <w:style w:type="paragraph" w:styleId="FootnoteText">
    <w:name w:val="footnote text"/>
    <w:basedOn w:val="Normal"/>
    <w:link w:val="FootnoteTextChar"/>
    <w:uiPriority w:val="99"/>
    <w:semiHidden/>
    <w:unhideWhenUsed/>
    <w:rsid w:val="00997278"/>
    <w:rPr>
      <w:sz w:val="20"/>
      <w:szCs w:val="20"/>
    </w:rPr>
  </w:style>
  <w:style w:type="character" w:customStyle="1" w:styleId="FootnoteTextChar">
    <w:name w:val="Footnote Text Char"/>
    <w:basedOn w:val="DefaultParagraphFont"/>
    <w:link w:val="FootnoteText"/>
    <w:uiPriority w:val="99"/>
    <w:semiHidden/>
    <w:rsid w:val="00997278"/>
    <w:rPr>
      <w:sz w:val="20"/>
      <w:szCs w:val="20"/>
    </w:rPr>
  </w:style>
  <w:style w:type="character" w:styleId="FootnoteReference">
    <w:name w:val="footnote reference"/>
    <w:basedOn w:val="DefaultParagraphFont"/>
    <w:uiPriority w:val="99"/>
    <w:semiHidden/>
    <w:unhideWhenUsed/>
    <w:rsid w:val="00997278"/>
    <w:rPr>
      <w:vertAlign w:val="superscript"/>
    </w:rPr>
  </w:style>
  <w:style w:type="paragraph" w:styleId="Header">
    <w:name w:val="header"/>
    <w:basedOn w:val="Normal"/>
    <w:link w:val="HeaderChar"/>
    <w:uiPriority w:val="99"/>
    <w:unhideWhenUsed/>
    <w:rsid w:val="00C25B8E"/>
    <w:pPr>
      <w:tabs>
        <w:tab w:val="center" w:pos="4680"/>
        <w:tab w:val="right" w:pos="9360"/>
      </w:tabs>
    </w:pPr>
  </w:style>
  <w:style w:type="character" w:customStyle="1" w:styleId="HeaderChar">
    <w:name w:val="Header Char"/>
    <w:basedOn w:val="DefaultParagraphFont"/>
    <w:link w:val="Header"/>
    <w:uiPriority w:val="99"/>
    <w:rsid w:val="00C25B8E"/>
  </w:style>
  <w:style w:type="paragraph" w:styleId="Footer">
    <w:name w:val="footer"/>
    <w:basedOn w:val="Normal"/>
    <w:link w:val="FooterChar"/>
    <w:uiPriority w:val="99"/>
    <w:unhideWhenUsed/>
    <w:rsid w:val="00C25B8E"/>
    <w:pPr>
      <w:tabs>
        <w:tab w:val="center" w:pos="4680"/>
        <w:tab w:val="right" w:pos="9360"/>
      </w:tabs>
    </w:pPr>
  </w:style>
  <w:style w:type="character" w:customStyle="1" w:styleId="FooterChar">
    <w:name w:val="Footer Char"/>
    <w:basedOn w:val="DefaultParagraphFont"/>
    <w:link w:val="Footer"/>
    <w:uiPriority w:val="99"/>
    <w:rsid w:val="00C25B8E"/>
  </w:style>
  <w:style w:type="character" w:styleId="Hyperlink">
    <w:name w:val="Hyperlink"/>
    <w:basedOn w:val="DefaultParagraphFont"/>
    <w:uiPriority w:val="99"/>
    <w:unhideWhenUsed/>
    <w:rsid w:val="007806A9"/>
    <w:rPr>
      <w:color w:val="0563C1" w:themeColor="hyperlink"/>
      <w:u w:val="single"/>
    </w:rPr>
  </w:style>
  <w:style w:type="character" w:styleId="UnresolvedMention">
    <w:name w:val="Unresolved Mention"/>
    <w:basedOn w:val="DefaultParagraphFont"/>
    <w:uiPriority w:val="99"/>
    <w:semiHidden/>
    <w:unhideWhenUsed/>
    <w:rsid w:val="00780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endle@actionagainsthunger.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llen@actionagainsthunger.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B7BCD-0988-A948-A2AB-1CAF27363DD5}">
  <ds:schemaRefs>
    <ds:schemaRef ds:uri="http://schemas.openxmlformats.org/officeDocument/2006/bibliography"/>
  </ds:schemaRefs>
</ds:datastoreItem>
</file>

<file path=customXml/itemProps2.xml><?xml version="1.0" encoding="utf-8"?>
<ds:datastoreItem xmlns:ds="http://schemas.openxmlformats.org/officeDocument/2006/customXml" ds:itemID="{B1D4EA20-1533-432E-8783-C57CA7B29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44D3C1-FD37-4471-BB60-E8A439F1F651}">
  <ds:schemaRefs>
    <ds:schemaRef ds:uri="http://schemas.microsoft.com/sharepoint/v3/contenttype/forms"/>
  </ds:schemaRefs>
</ds:datastoreItem>
</file>

<file path=customXml/itemProps4.xml><?xml version="1.0" encoding="utf-8"?>
<ds:datastoreItem xmlns:ds="http://schemas.openxmlformats.org/officeDocument/2006/customXml" ds:itemID="{5277BBC7-DF74-4BC5-B571-FF8B975DE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Bauer</dc:creator>
  <cp:keywords/>
  <dc:description/>
  <cp:lastModifiedBy>Justine Aenishaenslin</cp:lastModifiedBy>
  <cp:revision>3</cp:revision>
  <dcterms:created xsi:type="dcterms:W3CDTF">2021-12-01T12:16:00Z</dcterms:created>
  <dcterms:modified xsi:type="dcterms:W3CDTF">2021-12-01T12:19:00Z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